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2"/>
        <w:gridCol w:w="2433"/>
        <w:gridCol w:w="3760"/>
      </w:tblGrid>
      <w:tr w:rsidR="00F171C3" w:rsidTr="00F171C3">
        <w:trPr>
          <w:trHeight w:val="1122"/>
        </w:trPr>
        <w:tc>
          <w:tcPr>
            <w:tcW w:w="3724" w:type="dxa"/>
          </w:tcPr>
          <w:p w:rsidR="00F171C3" w:rsidRDefault="00F171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F171C3" w:rsidRDefault="00F171C3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МАНЫЧСКОЕ СЕЛЬСКОЕ МУНИЦИПАЛЬНОЕ    ОБРАЗОВАНИЕ </w:t>
            </w:r>
          </w:p>
          <w:p w:rsidR="00F171C3" w:rsidRDefault="00F171C3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РЕСПУБЛИКИ КАЛМЫКИЯ</w:t>
            </w:r>
          </w:p>
          <w:p w:rsidR="00F171C3" w:rsidRDefault="00F17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2435" w:type="dxa"/>
            <w:hideMark/>
          </w:tcPr>
          <w:p w:rsidR="00F171C3" w:rsidRDefault="00F17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82867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dxa"/>
          </w:tcPr>
          <w:p w:rsidR="00F171C3" w:rsidRDefault="00F171C3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F171C3" w:rsidRDefault="00F171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ХАЛЬМГ ТАН</w:t>
            </w: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>h</w:t>
            </w: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ЧИН </w:t>
            </w:r>
          </w:p>
          <w:p w:rsidR="00F171C3" w:rsidRDefault="00F171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МАНЫЧСК МУНИЦИПАЛЬН</w:t>
            </w:r>
          </w:p>
          <w:p w:rsidR="00F171C3" w:rsidRDefault="00F171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>Y</w:t>
            </w: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РДЭЦИИН</w:t>
            </w:r>
          </w:p>
          <w:p w:rsidR="00F171C3" w:rsidRDefault="00F171C3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eastAsia="ru-RU"/>
              </w:rPr>
              <w:t>ДЕПУТАТНЫРИН ХУРЫГ</w:t>
            </w:r>
          </w:p>
        </w:tc>
      </w:tr>
      <w:tr w:rsidR="00F171C3" w:rsidTr="00F171C3">
        <w:trPr>
          <w:trHeight w:val="370"/>
        </w:trPr>
        <w:tc>
          <w:tcPr>
            <w:tcW w:w="9922" w:type="dxa"/>
            <w:gridSpan w:val="3"/>
          </w:tcPr>
          <w:p w:rsidR="00F171C3" w:rsidRDefault="00F171C3">
            <w:pPr>
              <w:tabs>
                <w:tab w:val="left" w:pos="262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F171C3" w:rsidRDefault="00F171C3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359013, п. Манычский, ул. Школьная, 7</w:t>
            </w:r>
          </w:p>
        </w:tc>
      </w:tr>
      <w:tr w:rsidR="00F171C3" w:rsidTr="00F171C3">
        <w:trPr>
          <w:trHeight w:val="370"/>
        </w:trPr>
        <w:tc>
          <w:tcPr>
            <w:tcW w:w="9922" w:type="dxa"/>
            <w:gridSpan w:val="3"/>
          </w:tcPr>
          <w:p w:rsidR="00F171C3" w:rsidRDefault="00F171C3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F171C3" w:rsidRDefault="00F171C3" w:rsidP="00F171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</w:t>
      </w:r>
    </w:p>
    <w:p w:rsidR="00F171C3" w:rsidRDefault="00F171C3" w:rsidP="00F171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71C3" w:rsidRDefault="00F171C3" w:rsidP="00F171C3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  29 » октября   2020 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№ 10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п.Манычский</w:t>
      </w:r>
      <w:r>
        <w:rPr>
          <w:rFonts w:ascii="Times New Roman" w:hAnsi="Times New Roman"/>
          <w:lang w:eastAsia="ru-RU"/>
        </w:rPr>
        <w:t xml:space="preserve"> </w:t>
      </w:r>
    </w:p>
    <w:p w:rsidR="00F171C3" w:rsidRDefault="00F171C3" w:rsidP="00F171C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171C3" w:rsidRDefault="00F171C3" w:rsidP="00F171C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назначении на должность Главы </w:t>
      </w:r>
    </w:p>
    <w:p w:rsidR="00F171C3" w:rsidRDefault="00F171C3" w:rsidP="00F171C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Манычского сельского муниципального </w:t>
      </w:r>
    </w:p>
    <w:p w:rsidR="00F171C3" w:rsidRDefault="00F171C3" w:rsidP="00F171C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образования Республики Калмыкия</w:t>
      </w:r>
    </w:p>
    <w:p w:rsidR="00F171C3" w:rsidRDefault="00F171C3" w:rsidP="00F171C3">
      <w:pPr>
        <w:spacing w:after="0" w:line="240" w:lineRule="auto"/>
        <w:rPr>
          <w:rFonts w:ascii="Times New Roman" w:hAnsi="Times New Roman"/>
          <w:lang w:eastAsia="ru-RU"/>
        </w:rPr>
      </w:pPr>
    </w:p>
    <w:p w:rsidR="00F171C3" w:rsidRDefault="00F171C3" w:rsidP="00F1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соответствии со статьей 28 </w:t>
      </w:r>
      <w:r>
        <w:rPr>
          <w:rFonts w:ascii="Times New Roman" w:hAnsi="Times New Roman"/>
          <w:sz w:val="28"/>
          <w:szCs w:val="28"/>
        </w:rPr>
        <w:t>Устава  Манычского сельского муниципального образования Республики Калмыкия,  Порядком  проведения конкурса по отбору кандидатур на  должность главы Манычского сельского муниципального образования Республики Калмыкия», заслушав информацию председателя конкурсной комиссии о результатах проведения конкурса и о кандидатах на должность Главы Манычского сельского муниципального образования Республики Калмыкия, Собрание депутатов Манычского сельского муниципального образования Республики Калмыкия</w:t>
      </w:r>
    </w:p>
    <w:p w:rsidR="00F171C3" w:rsidRDefault="00F171C3" w:rsidP="00F171C3">
      <w:pPr>
        <w:spacing w:after="0" w:line="240" w:lineRule="auto"/>
        <w:jc w:val="both"/>
        <w:rPr>
          <w:rFonts w:ascii="Times New Roman" w:hAnsi="Times New Roman"/>
        </w:rPr>
      </w:pPr>
    </w:p>
    <w:p w:rsidR="00F171C3" w:rsidRDefault="00F171C3" w:rsidP="00F171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F171C3" w:rsidRDefault="00F171C3" w:rsidP="00F171C3">
      <w:pPr>
        <w:spacing w:after="0" w:line="240" w:lineRule="auto"/>
        <w:jc w:val="both"/>
        <w:rPr>
          <w:rFonts w:ascii="Times New Roman" w:hAnsi="Times New Roman"/>
        </w:rPr>
      </w:pPr>
    </w:p>
    <w:p w:rsidR="00F171C3" w:rsidRDefault="00F171C3" w:rsidP="00F1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1.Назначить на должность Главы   Манычского сельского муниципального образования Республики Калмыкия из числа кандидатов, представленных конкурсной комиссией- Кузьменко Ольгу Ивановну.</w:t>
      </w:r>
    </w:p>
    <w:p w:rsidR="00F171C3" w:rsidRDefault="00F171C3" w:rsidP="00F1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2.Главе  Манычского сельского муниципального образования Республики Калмыкия Кузьменко Ольге Ивановне приступить к исполнению обязанностей с 29 октября 2020года.</w:t>
      </w:r>
    </w:p>
    <w:p w:rsidR="00F171C3" w:rsidRDefault="00F171C3" w:rsidP="00F1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Решение вступает в силу со дня подписания.</w:t>
      </w:r>
    </w:p>
    <w:p w:rsidR="00F171C3" w:rsidRDefault="00F171C3" w:rsidP="00F1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71C3" w:rsidRDefault="00F171C3" w:rsidP="00F1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1C3" w:rsidRDefault="00F171C3" w:rsidP="00F171C3">
      <w:pPr>
        <w:spacing w:after="0" w:line="240" w:lineRule="auto"/>
        <w:jc w:val="both"/>
        <w:rPr>
          <w:rFonts w:ascii="Times New Roman" w:hAnsi="Times New Roman"/>
        </w:rPr>
      </w:pPr>
    </w:p>
    <w:p w:rsidR="00F171C3" w:rsidRDefault="00F171C3" w:rsidP="00F1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F171C3" w:rsidRDefault="00F171C3" w:rsidP="00F1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Манычского сельского муниципального </w:t>
      </w:r>
    </w:p>
    <w:p w:rsidR="00F171C3" w:rsidRDefault="00F171C3" w:rsidP="00F171C3">
      <w:pPr>
        <w:tabs>
          <w:tab w:val="num" w:pos="-1080"/>
          <w:tab w:val="left" w:pos="108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>Образования Республики Калмыкия :                                        Пономарева Л.</w:t>
      </w:r>
    </w:p>
    <w:p w:rsidR="00F171C3" w:rsidRDefault="00F171C3" w:rsidP="00F171C3">
      <w:pPr>
        <w:tabs>
          <w:tab w:val="num" w:pos="-1080"/>
          <w:tab w:val="left" w:pos="108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94B95" w:rsidRDefault="00994B95">
      <w:bookmarkStart w:id="0" w:name="_GoBack"/>
      <w:bookmarkEnd w:id="0"/>
    </w:p>
    <w:sectPr w:rsidR="0099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BF"/>
    <w:rsid w:val="005705BF"/>
    <w:rsid w:val="00994B95"/>
    <w:rsid w:val="00F1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1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1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2020-10-27T07:51:00Z</dcterms:created>
  <dcterms:modified xsi:type="dcterms:W3CDTF">2020-10-27T07:51:00Z</dcterms:modified>
</cp:coreProperties>
</file>